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220B4" w:rsidRDefault="00C220B4" w:rsidP="008F1564">
      <w:pPr>
        <w:pStyle w:val="BodyText"/>
        <w:spacing w:after="0"/>
        <w:jc w:val="center"/>
        <w:rPr>
          <w:b/>
        </w:rPr>
      </w:pPr>
      <w:r>
        <w:rPr>
          <w:b/>
        </w:rPr>
        <w:t>Индивидуальным предпринимателям: когда и сколько платить в ПФР и ФФОМС?</w:t>
      </w:r>
    </w:p>
    <w:p w:rsidR="00C220B4" w:rsidRDefault="00C220B4" w:rsidP="009809C0">
      <w:pPr>
        <w:ind w:firstLine="709"/>
        <w:jc w:val="both"/>
        <w:rPr>
          <w:lang w:eastAsia="ru-RU"/>
        </w:rPr>
      </w:pPr>
    </w:p>
    <w:p w:rsidR="00C220B4" w:rsidRPr="00D11F0F" w:rsidRDefault="00C220B4" w:rsidP="00D11F0F">
      <w:pPr>
        <w:ind w:firstLine="709"/>
        <w:jc w:val="both"/>
      </w:pPr>
      <w:r>
        <w:rPr>
          <w:lang w:eastAsia="ru-RU"/>
        </w:rPr>
        <w:t>Управление Пенсионного фонда в Кингисеппском районе напом</w:t>
      </w:r>
      <w:r w:rsidRPr="00D11F0F">
        <w:rPr>
          <w:lang w:eastAsia="ru-RU"/>
        </w:rPr>
        <w:t xml:space="preserve">инает, что </w:t>
      </w:r>
      <w:r w:rsidRPr="00D11F0F">
        <w:t>в соответствии с законодательством с 2014 года изменился порядок уплаты страховых взносов индивидуальными предпринимателями за себя.</w:t>
      </w:r>
    </w:p>
    <w:p w:rsidR="00C220B4" w:rsidRDefault="00C220B4" w:rsidP="00D11F0F">
      <w:pPr>
        <w:spacing w:before="100" w:beforeAutospacing="1"/>
        <w:ind w:firstLine="540"/>
        <w:contextualSpacing/>
        <w:jc w:val="both"/>
        <w:rPr>
          <w:color w:val="000000"/>
          <w:lang w:eastAsia="ru-RU"/>
        </w:rPr>
      </w:pPr>
      <w:r w:rsidRPr="00D11F0F">
        <w:rPr>
          <w:color w:val="000000"/>
          <w:lang w:eastAsia="ru-RU"/>
        </w:rPr>
        <w:t>В случае если величина дохода за расчетный период не превышает 300 тысяч рублей – в фиксированном размере:</w:t>
      </w:r>
    </w:p>
    <w:p w:rsidR="00C220B4" w:rsidRDefault="00C220B4" w:rsidP="00D11F0F">
      <w:pPr>
        <w:spacing w:before="100" w:beforeAutospacing="1"/>
        <w:ind w:firstLine="540"/>
        <w:contextualSpacing/>
        <w:jc w:val="both"/>
        <w:rPr>
          <w:color w:val="000000"/>
          <w:lang w:eastAsia="ru-RU"/>
        </w:rPr>
      </w:pPr>
      <w:r w:rsidRPr="00D11F0F">
        <w:rPr>
          <w:color w:val="000000"/>
          <w:lang w:eastAsia="ru-RU"/>
        </w:rPr>
        <w:t xml:space="preserve">В ПФР: МРОТ (на </w:t>
      </w:r>
      <w:r>
        <w:rPr>
          <w:color w:val="000000"/>
          <w:lang w:eastAsia="ru-RU"/>
        </w:rPr>
        <w:t xml:space="preserve">начало года) </w:t>
      </w:r>
      <w:r w:rsidRPr="00882D06">
        <w:rPr>
          <w:b/>
          <w:color w:val="000000"/>
          <w:lang w:val="en-US" w:eastAsia="ru-RU"/>
        </w:rPr>
        <w:t>x</w:t>
      </w:r>
      <w:r>
        <w:rPr>
          <w:color w:val="000000"/>
          <w:lang w:eastAsia="ru-RU"/>
        </w:rPr>
        <w:t xml:space="preserve"> тариф страховых взносов (26%) </w:t>
      </w:r>
      <w:r w:rsidRPr="00882D06">
        <w:rPr>
          <w:b/>
          <w:color w:val="000000"/>
          <w:lang w:val="en-US" w:eastAsia="ru-RU"/>
        </w:rPr>
        <w:t>x</w:t>
      </w:r>
      <w:r w:rsidRPr="00882D06">
        <w:rPr>
          <w:b/>
          <w:color w:val="000000"/>
          <w:lang w:eastAsia="ru-RU"/>
        </w:rPr>
        <w:t xml:space="preserve"> </w:t>
      </w:r>
      <w:r w:rsidRPr="00D11F0F">
        <w:rPr>
          <w:color w:val="000000"/>
          <w:lang w:eastAsia="ru-RU"/>
        </w:rPr>
        <w:t xml:space="preserve">12 </w:t>
      </w:r>
    </w:p>
    <w:p w:rsidR="00C220B4" w:rsidRDefault="00C220B4" w:rsidP="00D11F0F">
      <w:pPr>
        <w:spacing w:before="100" w:beforeAutospacing="1"/>
        <w:ind w:firstLine="540"/>
        <w:contextualSpacing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5554 </w:t>
      </w:r>
      <w:r w:rsidRPr="00882D06">
        <w:rPr>
          <w:b/>
          <w:color w:val="000000"/>
          <w:lang w:val="en-US" w:eastAsia="ru-RU"/>
        </w:rPr>
        <w:t>x</w:t>
      </w:r>
      <w:r>
        <w:rPr>
          <w:color w:val="000000"/>
          <w:lang w:eastAsia="ru-RU"/>
        </w:rPr>
        <w:t xml:space="preserve"> 26% </w:t>
      </w:r>
      <w:r w:rsidRPr="00882D06">
        <w:rPr>
          <w:b/>
          <w:color w:val="000000"/>
          <w:lang w:val="en-US" w:eastAsia="ru-RU"/>
        </w:rPr>
        <w:t>x</w:t>
      </w:r>
      <w:r w:rsidRPr="00D11F0F">
        <w:rPr>
          <w:color w:val="000000"/>
          <w:lang w:eastAsia="ru-RU"/>
        </w:rPr>
        <w:t xml:space="preserve"> 12= </w:t>
      </w:r>
      <w:r w:rsidRPr="00D11F0F">
        <w:rPr>
          <w:color w:val="111111"/>
          <w:lang w:eastAsia="ru-RU"/>
        </w:rPr>
        <w:t>17328,48 рублей</w:t>
      </w:r>
      <w:r>
        <w:rPr>
          <w:color w:val="111111"/>
          <w:lang w:eastAsia="ru-RU"/>
        </w:rPr>
        <w:t>.</w:t>
      </w:r>
    </w:p>
    <w:p w:rsidR="00C220B4" w:rsidRDefault="00C220B4" w:rsidP="00D11F0F">
      <w:pPr>
        <w:spacing w:before="100" w:beforeAutospacing="1"/>
        <w:ind w:firstLine="540"/>
        <w:contextualSpacing/>
        <w:jc w:val="both"/>
        <w:rPr>
          <w:color w:val="000000"/>
          <w:lang w:eastAsia="ru-RU"/>
        </w:rPr>
      </w:pPr>
      <w:r w:rsidRPr="00D11F0F">
        <w:rPr>
          <w:color w:val="000000"/>
          <w:lang w:eastAsia="ru-RU"/>
        </w:rPr>
        <w:t xml:space="preserve">В ФФОМС: </w:t>
      </w:r>
      <w:r>
        <w:rPr>
          <w:color w:val="111111"/>
          <w:lang w:eastAsia="ru-RU"/>
        </w:rPr>
        <w:t xml:space="preserve">МРОТ (на начало года) </w:t>
      </w:r>
      <w:r w:rsidRPr="00882D06">
        <w:rPr>
          <w:b/>
          <w:color w:val="111111"/>
          <w:lang w:val="en-US" w:eastAsia="ru-RU"/>
        </w:rPr>
        <w:t>x</w:t>
      </w:r>
      <w:r>
        <w:rPr>
          <w:b/>
          <w:color w:val="111111"/>
          <w:lang w:eastAsia="ru-RU"/>
        </w:rPr>
        <w:t xml:space="preserve"> </w:t>
      </w:r>
      <w:r>
        <w:rPr>
          <w:color w:val="111111"/>
          <w:lang w:eastAsia="ru-RU"/>
        </w:rPr>
        <w:t xml:space="preserve">тариф страховых взносов (5,1%) </w:t>
      </w:r>
      <w:r w:rsidRPr="00882D06">
        <w:rPr>
          <w:b/>
          <w:color w:val="111111"/>
          <w:lang w:val="en-US" w:eastAsia="ru-RU"/>
        </w:rPr>
        <w:t>x</w:t>
      </w:r>
      <w:r w:rsidRPr="00D11F0F">
        <w:rPr>
          <w:color w:val="111111"/>
          <w:lang w:eastAsia="ru-RU"/>
        </w:rPr>
        <w:t xml:space="preserve"> 12</w:t>
      </w:r>
    </w:p>
    <w:p w:rsidR="00C220B4" w:rsidRPr="00D11F0F" w:rsidRDefault="00C220B4" w:rsidP="00D11F0F">
      <w:pPr>
        <w:spacing w:before="100" w:beforeAutospacing="1"/>
        <w:ind w:firstLine="540"/>
        <w:contextualSpacing/>
        <w:jc w:val="both"/>
        <w:rPr>
          <w:color w:val="000000"/>
          <w:lang w:eastAsia="ru-RU"/>
        </w:rPr>
      </w:pPr>
      <w:r>
        <w:rPr>
          <w:color w:val="111111"/>
          <w:lang w:eastAsia="ru-RU"/>
        </w:rPr>
        <w:t xml:space="preserve">5554 </w:t>
      </w:r>
      <w:r w:rsidRPr="00882D06">
        <w:rPr>
          <w:b/>
          <w:color w:val="111111"/>
          <w:lang w:val="en-US" w:eastAsia="ru-RU"/>
        </w:rPr>
        <w:t>x</w:t>
      </w:r>
      <w:r w:rsidRPr="00882D06">
        <w:rPr>
          <w:b/>
          <w:color w:val="111111"/>
          <w:lang w:eastAsia="ru-RU"/>
        </w:rPr>
        <w:t xml:space="preserve"> </w:t>
      </w:r>
      <w:r>
        <w:rPr>
          <w:color w:val="111111"/>
          <w:lang w:eastAsia="ru-RU"/>
        </w:rPr>
        <w:t xml:space="preserve">5,1% </w:t>
      </w:r>
      <w:r w:rsidRPr="00882D06">
        <w:rPr>
          <w:b/>
          <w:color w:val="111111"/>
          <w:lang w:val="en-US" w:eastAsia="ru-RU"/>
        </w:rPr>
        <w:t>x</w:t>
      </w:r>
      <w:r w:rsidRPr="00882D06">
        <w:rPr>
          <w:b/>
          <w:color w:val="111111"/>
          <w:lang w:eastAsia="ru-RU"/>
        </w:rPr>
        <w:t xml:space="preserve"> </w:t>
      </w:r>
      <w:r w:rsidRPr="00D11F0F">
        <w:rPr>
          <w:color w:val="111111"/>
          <w:lang w:eastAsia="ru-RU"/>
        </w:rPr>
        <w:t>12 =3399,05 рублей</w:t>
      </w:r>
      <w:r>
        <w:rPr>
          <w:color w:val="111111"/>
          <w:lang w:eastAsia="ru-RU"/>
        </w:rPr>
        <w:t>.</w:t>
      </w:r>
    </w:p>
    <w:p w:rsidR="00C220B4" w:rsidRPr="00D11F0F" w:rsidRDefault="00C220B4" w:rsidP="00D11F0F">
      <w:pPr>
        <w:spacing w:before="100" w:beforeAutospacing="1" w:after="100" w:afterAutospacing="1"/>
        <w:ind w:firstLine="567"/>
        <w:contextualSpacing/>
        <w:jc w:val="both"/>
        <w:rPr>
          <w:b/>
          <w:color w:val="111111"/>
          <w:lang w:eastAsia="ru-RU"/>
        </w:rPr>
      </w:pPr>
      <w:r w:rsidRPr="00D11F0F">
        <w:rPr>
          <w:b/>
          <w:bCs/>
          <w:color w:val="111111"/>
          <w:lang w:eastAsia="ru-RU"/>
        </w:rPr>
        <w:t xml:space="preserve">Срок уплаты </w:t>
      </w:r>
      <w:r w:rsidRPr="00D11F0F">
        <w:rPr>
          <w:b/>
          <w:color w:val="111111"/>
          <w:lang w:eastAsia="ru-RU"/>
        </w:rPr>
        <w:t>– до 31 декабря года, за который уплачиваются взносы</w:t>
      </w:r>
      <w:r w:rsidRPr="00EA7DB7">
        <w:rPr>
          <w:color w:val="111111"/>
          <w:lang w:eastAsia="ru-RU"/>
        </w:rPr>
        <w:t>.</w:t>
      </w:r>
    </w:p>
    <w:p w:rsidR="00C220B4" w:rsidRPr="00D11F0F" w:rsidRDefault="00C220B4" w:rsidP="00D11F0F">
      <w:pPr>
        <w:spacing w:before="100" w:beforeAutospacing="1" w:after="100" w:afterAutospacing="1"/>
        <w:ind w:firstLine="567"/>
        <w:contextualSpacing/>
        <w:jc w:val="both"/>
        <w:rPr>
          <w:color w:val="111111"/>
          <w:lang w:eastAsia="ru-RU"/>
        </w:rPr>
      </w:pPr>
      <w:r w:rsidRPr="00D11F0F">
        <w:rPr>
          <w:color w:val="111111"/>
          <w:lang w:eastAsia="ru-RU"/>
        </w:rPr>
        <w:t>В случае если доходы предпринимателя за расчетный период превысят 300 тысяч рублей, помимо платежей в размере 20727,53 рублей, предприниматель должен рассчитать и перечислить в Пенсионный фонд РФ (далее – ПФР) страховые взносы в размере 1% от суммы превышения. При этом сумма страховых</w:t>
      </w:r>
      <w:r w:rsidRPr="00D11F0F">
        <w:rPr>
          <w:bCs/>
          <w:color w:val="111111"/>
          <w:lang w:eastAsia="ru-RU"/>
        </w:rPr>
        <w:t xml:space="preserve"> взносов в ПФР не может быть более 138627,84 рублей, рассчитанного исходя из восьмикратного МРОТ</w:t>
      </w:r>
      <w:r w:rsidRPr="00D11F0F">
        <w:rPr>
          <w:color w:val="111111"/>
          <w:lang w:eastAsia="ru-RU"/>
        </w:rPr>
        <w:t> (5554 Х 8 Х 26% Х 12).</w:t>
      </w:r>
    </w:p>
    <w:p w:rsidR="00C220B4" w:rsidRPr="00D11F0F" w:rsidRDefault="00C220B4" w:rsidP="00D11F0F">
      <w:pPr>
        <w:spacing w:before="100" w:beforeAutospacing="1" w:after="100" w:afterAutospacing="1"/>
        <w:ind w:firstLine="567"/>
        <w:contextualSpacing/>
        <w:jc w:val="both"/>
        <w:rPr>
          <w:b/>
          <w:color w:val="111111"/>
          <w:lang w:eastAsia="ru-RU"/>
        </w:rPr>
      </w:pPr>
      <w:r w:rsidRPr="00D11F0F">
        <w:rPr>
          <w:b/>
          <w:bCs/>
          <w:color w:val="111111"/>
          <w:lang w:eastAsia="ru-RU"/>
        </w:rPr>
        <w:t xml:space="preserve">Срок уплаты </w:t>
      </w:r>
      <w:r w:rsidRPr="00D11F0F">
        <w:rPr>
          <w:b/>
          <w:color w:val="111111"/>
          <w:lang w:eastAsia="ru-RU"/>
        </w:rPr>
        <w:t>страховых взносов в размере 1% от суммы дохода свыше 300 тысяч рублей - не позднее 1 апреля года, следующего за истекшим расчетным периодом, то есть за 2014 год – не позднее 1 апреля 2015 года</w:t>
      </w:r>
      <w:r w:rsidRPr="00D11F0F">
        <w:rPr>
          <w:color w:val="111111"/>
          <w:lang w:eastAsia="ru-RU"/>
        </w:rPr>
        <w:t>.</w:t>
      </w:r>
    </w:p>
    <w:p w:rsidR="00C220B4" w:rsidRPr="00D11F0F" w:rsidRDefault="00C220B4" w:rsidP="00D11F0F">
      <w:pPr>
        <w:spacing w:before="100" w:beforeAutospacing="1" w:after="100" w:afterAutospacing="1"/>
        <w:ind w:firstLine="567"/>
        <w:contextualSpacing/>
        <w:jc w:val="both"/>
        <w:rPr>
          <w:color w:val="111111"/>
          <w:lang w:eastAsia="ru-RU"/>
        </w:rPr>
      </w:pPr>
      <w:r w:rsidRPr="00D11F0F">
        <w:rPr>
          <w:color w:val="111111"/>
          <w:lang w:eastAsia="ru-RU"/>
        </w:rPr>
        <w:t>Взносы в ФФОМС с доходов свыше 300 тыс. рублей не рассчитываются и не уплачиваются.</w:t>
      </w:r>
    </w:p>
    <w:p w:rsidR="00C220B4" w:rsidRPr="00D11F0F" w:rsidRDefault="00C220B4" w:rsidP="00D11F0F">
      <w:pPr>
        <w:ind w:firstLine="709"/>
        <w:jc w:val="both"/>
        <w:rPr>
          <w:lang w:eastAsia="ru-RU"/>
        </w:rPr>
      </w:pPr>
      <w:r w:rsidRPr="00D11F0F">
        <w:rPr>
          <w:lang w:eastAsia="ru-RU"/>
        </w:rPr>
        <w:t>Сумма страховых взносов на страховую и накопительную часть пенсии будет определяться ПФР в зависимости от возрастной категории предпринимателя на основании данных индивидуального (персонифицированного) учета и выбранного варианта пенсионного обеспечения.</w:t>
      </w:r>
    </w:p>
    <w:p w:rsidR="00C220B4" w:rsidRPr="00D11F0F" w:rsidRDefault="00C220B4" w:rsidP="00D11F0F">
      <w:pPr>
        <w:ind w:firstLine="709"/>
        <w:jc w:val="both"/>
        <w:rPr>
          <w:lang w:eastAsia="ru-RU"/>
        </w:rPr>
      </w:pPr>
      <w:r w:rsidRPr="00D11F0F">
        <w:rPr>
          <w:color w:val="111111"/>
          <w:lang w:eastAsia="ru-RU"/>
        </w:rPr>
        <w:t>Индивидуальным предпринимателям необходимо представлять в налоговые органы декларацию о доходах от деятельности за расчетный период. В случае непредставления деклараций страховые взносы будут взысканы органами контроля в размере, определяемом из расчета восьмикратного МРОТ, то есть:</w:t>
      </w:r>
      <w:r w:rsidRPr="00D11F0F">
        <w:rPr>
          <w:bCs/>
          <w:color w:val="111111"/>
          <w:lang w:eastAsia="ru-RU"/>
        </w:rPr>
        <w:t xml:space="preserve"> 138627,84 руб.</w:t>
      </w:r>
      <w:r w:rsidRPr="00D11F0F">
        <w:rPr>
          <w:color w:val="111111"/>
          <w:lang w:eastAsia="ru-RU"/>
        </w:rPr>
        <w:t> (5554 х 8 х 26% х 12).</w:t>
      </w:r>
    </w:p>
    <w:p w:rsidR="00C220B4" w:rsidRPr="00D11F0F" w:rsidRDefault="00C220B4" w:rsidP="00D11F0F">
      <w:pPr>
        <w:ind w:firstLine="709"/>
        <w:jc w:val="both"/>
        <w:rPr>
          <w:lang w:eastAsia="ru-RU"/>
        </w:rPr>
      </w:pPr>
      <w:r w:rsidRPr="00D11F0F">
        <w:t>Обязанность по уплате страховых взносов не зависит от факта осуществления деятельности, а возникает в силу факта государственной регистрации физического лица в качестве индивидуального предпринимателя.</w:t>
      </w:r>
    </w:p>
    <w:p w:rsidR="00C220B4" w:rsidRDefault="00C220B4" w:rsidP="00D11F0F">
      <w:pPr>
        <w:rPr>
          <w:sz w:val="26"/>
          <w:szCs w:val="26"/>
        </w:rPr>
      </w:pPr>
    </w:p>
    <w:p w:rsidR="00C220B4" w:rsidRDefault="00C220B4" w:rsidP="009809C0">
      <w:pPr>
        <w:ind w:firstLine="709"/>
        <w:jc w:val="both"/>
      </w:pPr>
    </w:p>
    <w:p w:rsidR="00C220B4" w:rsidRDefault="00C220B4" w:rsidP="004E441C">
      <w:pPr>
        <w:pBdr>
          <w:bottom w:val="single" w:sz="4" w:space="31" w:color="auto"/>
        </w:pBdr>
        <w:tabs>
          <w:tab w:val="left" w:pos="1110"/>
        </w:tabs>
        <w:jc w:val="both"/>
      </w:pPr>
    </w:p>
    <w:p w:rsidR="00C220B4" w:rsidRDefault="00C220B4" w:rsidP="004E441C">
      <w:pPr>
        <w:pBdr>
          <w:bottom w:val="single" w:sz="4" w:space="31" w:color="auto"/>
        </w:pBdr>
        <w:tabs>
          <w:tab w:val="left" w:pos="1110"/>
        </w:tabs>
        <w:ind w:firstLine="709"/>
        <w:jc w:val="both"/>
      </w:pPr>
    </w:p>
    <w:p w:rsidR="00C220B4" w:rsidRDefault="00C220B4" w:rsidP="004E441C">
      <w:pPr>
        <w:pBdr>
          <w:bottom w:val="single" w:sz="4" w:space="31" w:color="auto"/>
        </w:pBdr>
        <w:tabs>
          <w:tab w:val="left" w:pos="1110"/>
        </w:tabs>
        <w:ind w:firstLine="709"/>
        <w:jc w:val="both"/>
      </w:pPr>
    </w:p>
    <w:p w:rsidR="00C220B4" w:rsidRDefault="00C220B4" w:rsidP="004E441C">
      <w:pPr>
        <w:pBdr>
          <w:bottom w:val="single" w:sz="4" w:space="31" w:color="auto"/>
        </w:pBdr>
        <w:tabs>
          <w:tab w:val="left" w:pos="1110"/>
        </w:tabs>
        <w:ind w:firstLine="709"/>
        <w:jc w:val="both"/>
      </w:pPr>
    </w:p>
    <w:p w:rsidR="00C220B4" w:rsidRDefault="00C220B4" w:rsidP="004E441C">
      <w:pPr>
        <w:pBdr>
          <w:bottom w:val="single" w:sz="4" w:space="31" w:color="auto"/>
        </w:pBdr>
        <w:tabs>
          <w:tab w:val="left" w:pos="1110"/>
        </w:tabs>
        <w:ind w:firstLine="709"/>
        <w:jc w:val="both"/>
      </w:pPr>
    </w:p>
    <w:p w:rsidR="00C220B4" w:rsidRDefault="00C220B4" w:rsidP="004E441C">
      <w:pPr>
        <w:pBdr>
          <w:bottom w:val="single" w:sz="4" w:space="31" w:color="auto"/>
        </w:pBdr>
        <w:tabs>
          <w:tab w:val="left" w:pos="1110"/>
        </w:tabs>
        <w:ind w:firstLine="709"/>
        <w:jc w:val="both"/>
      </w:pPr>
    </w:p>
    <w:p w:rsidR="00C220B4" w:rsidRDefault="00C220B4" w:rsidP="004E441C">
      <w:pPr>
        <w:pBdr>
          <w:bottom w:val="single" w:sz="4" w:space="31" w:color="auto"/>
        </w:pBdr>
        <w:tabs>
          <w:tab w:val="left" w:pos="1110"/>
        </w:tabs>
        <w:ind w:firstLine="709"/>
        <w:jc w:val="both"/>
      </w:pPr>
    </w:p>
    <w:p w:rsidR="00C220B4" w:rsidRDefault="00C220B4" w:rsidP="004E441C">
      <w:pPr>
        <w:pBdr>
          <w:bottom w:val="single" w:sz="4" w:space="31" w:color="auto"/>
        </w:pBdr>
        <w:tabs>
          <w:tab w:val="left" w:pos="1110"/>
        </w:tabs>
        <w:ind w:firstLine="709"/>
        <w:jc w:val="both"/>
      </w:pPr>
    </w:p>
    <w:p w:rsidR="00C220B4" w:rsidRDefault="00C220B4" w:rsidP="004E441C">
      <w:pPr>
        <w:pBdr>
          <w:bottom w:val="single" w:sz="4" w:space="31" w:color="auto"/>
        </w:pBdr>
        <w:tabs>
          <w:tab w:val="left" w:pos="1110"/>
        </w:tabs>
        <w:ind w:firstLine="709"/>
        <w:jc w:val="both"/>
      </w:pPr>
    </w:p>
    <w:p w:rsidR="00C220B4" w:rsidRDefault="00C220B4" w:rsidP="004E441C">
      <w:pPr>
        <w:pBdr>
          <w:bottom w:val="single" w:sz="4" w:space="31" w:color="auto"/>
        </w:pBdr>
        <w:tabs>
          <w:tab w:val="left" w:pos="1110"/>
        </w:tabs>
        <w:ind w:firstLine="709"/>
        <w:jc w:val="both"/>
      </w:pPr>
    </w:p>
    <w:p w:rsidR="00C220B4" w:rsidRDefault="00C220B4" w:rsidP="004E441C">
      <w:pPr>
        <w:pBdr>
          <w:bottom w:val="single" w:sz="4" w:space="31" w:color="auto"/>
        </w:pBdr>
        <w:tabs>
          <w:tab w:val="left" w:pos="1110"/>
        </w:tabs>
        <w:ind w:firstLine="709"/>
        <w:jc w:val="both"/>
      </w:pPr>
    </w:p>
    <w:p w:rsidR="00C220B4" w:rsidRDefault="00C220B4" w:rsidP="004E441C">
      <w:pPr>
        <w:pBdr>
          <w:bottom w:val="single" w:sz="4" w:space="31" w:color="auto"/>
        </w:pBdr>
        <w:tabs>
          <w:tab w:val="left" w:pos="1110"/>
        </w:tabs>
        <w:ind w:firstLine="709"/>
        <w:jc w:val="both"/>
      </w:pPr>
    </w:p>
    <w:p w:rsidR="00C220B4" w:rsidRDefault="00C220B4" w:rsidP="004E441C">
      <w:pPr>
        <w:pBdr>
          <w:bottom w:val="single" w:sz="4" w:space="31" w:color="auto"/>
        </w:pBdr>
        <w:tabs>
          <w:tab w:val="left" w:pos="1110"/>
        </w:tabs>
        <w:ind w:firstLine="709"/>
        <w:jc w:val="both"/>
      </w:pPr>
    </w:p>
    <w:p w:rsidR="00C220B4" w:rsidRDefault="00C220B4" w:rsidP="004E441C">
      <w:pPr>
        <w:pBdr>
          <w:bottom w:val="single" w:sz="4" w:space="31" w:color="auto"/>
        </w:pBdr>
        <w:tabs>
          <w:tab w:val="left" w:pos="1110"/>
        </w:tabs>
        <w:ind w:firstLine="709"/>
        <w:jc w:val="both"/>
      </w:pPr>
    </w:p>
    <w:sectPr w:rsidR="00C220B4" w:rsidSect="00FD5D63">
      <w:headerReference w:type="default" r:id="rId7"/>
      <w:pgSz w:w="11906" w:h="16838"/>
      <w:pgMar w:top="993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0B4" w:rsidRDefault="00C220B4">
      <w:r>
        <w:separator/>
      </w:r>
    </w:p>
  </w:endnote>
  <w:endnote w:type="continuationSeparator" w:id="0">
    <w:p w:rsidR="00C220B4" w:rsidRDefault="00C22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0B4" w:rsidRDefault="00C220B4">
      <w:r>
        <w:separator/>
      </w:r>
    </w:p>
  </w:footnote>
  <w:footnote w:type="continuationSeparator" w:id="0">
    <w:p w:rsidR="00C220B4" w:rsidRDefault="00C22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0B4" w:rsidRDefault="00C220B4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6192;mso-wrap-distance-left:9.05pt;mso-wrap-distance-right:9.05pt" stroked="f">
          <v:fill opacity="0" color2="black"/>
          <v:textbox style="mso-next-textbox:#_x0000_s2049" inset="0,0,0,0">
            <w:txbxContent>
              <w:p w:rsidR="00C220B4" w:rsidRDefault="00C220B4">
                <w:pPr>
                  <w:pStyle w:val="Heading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C220B4" w:rsidRDefault="00C220B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BE631B"/>
    <w:multiLevelType w:val="multilevel"/>
    <w:tmpl w:val="83B6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02890"/>
    <w:rsid w:val="00014C0C"/>
    <w:rsid w:val="000159E4"/>
    <w:rsid w:val="00017FBF"/>
    <w:rsid w:val="000326BA"/>
    <w:rsid w:val="00033712"/>
    <w:rsid w:val="00033FD6"/>
    <w:rsid w:val="00053C33"/>
    <w:rsid w:val="00063167"/>
    <w:rsid w:val="0006478D"/>
    <w:rsid w:val="000847DC"/>
    <w:rsid w:val="000977C7"/>
    <w:rsid w:val="000A304E"/>
    <w:rsid w:val="000A4CA6"/>
    <w:rsid w:val="000C1E9A"/>
    <w:rsid w:val="000C26BC"/>
    <w:rsid w:val="000C7C1F"/>
    <w:rsid w:val="000D0C1C"/>
    <w:rsid w:val="000D7DBA"/>
    <w:rsid w:val="000F32B7"/>
    <w:rsid w:val="000F6953"/>
    <w:rsid w:val="000F6E03"/>
    <w:rsid w:val="001014DE"/>
    <w:rsid w:val="0010269A"/>
    <w:rsid w:val="00103B26"/>
    <w:rsid w:val="00105F2D"/>
    <w:rsid w:val="00107AE5"/>
    <w:rsid w:val="00110A9A"/>
    <w:rsid w:val="00113668"/>
    <w:rsid w:val="0011455B"/>
    <w:rsid w:val="00117D2B"/>
    <w:rsid w:val="00123DC1"/>
    <w:rsid w:val="00130361"/>
    <w:rsid w:val="001401CC"/>
    <w:rsid w:val="001410C1"/>
    <w:rsid w:val="00141DBF"/>
    <w:rsid w:val="00145891"/>
    <w:rsid w:val="001523B0"/>
    <w:rsid w:val="00154B21"/>
    <w:rsid w:val="001561CD"/>
    <w:rsid w:val="001605D7"/>
    <w:rsid w:val="001628B1"/>
    <w:rsid w:val="001708AD"/>
    <w:rsid w:val="00177B28"/>
    <w:rsid w:val="00182884"/>
    <w:rsid w:val="00187892"/>
    <w:rsid w:val="001A0C93"/>
    <w:rsid w:val="001B5CED"/>
    <w:rsid w:val="001C2627"/>
    <w:rsid w:val="001D01D5"/>
    <w:rsid w:val="001D7DA9"/>
    <w:rsid w:val="00203138"/>
    <w:rsid w:val="00205997"/>
    <w:rsid w:val="00211533"/>
    <w:rsid w:val="0021332B"/>
    <w:rsid w:val="00216872"/>
    <w:rsid w:val="00224158"/>
    <w:rsid w:val="00240989"/>
    <w:rsid w:val="00243224"/>
    <w:rsid w:val="00250E43"/>
    <w:rsid w:val="00257D6D"/>
    <w:rsid w:val="0026307A"/>
    <w:rsid w:val="0026777B"/>
    <w:rsid w:val="002765D0"/>
    <w:rsid w:val="002943FC"/>
    <w:rsid w:val="00295C73"/>
    <w:rsid w:val="002B6961"/>
    <w:rsid w:val="002B7E40"/>
    <w:rsid w:val="002D0C8C"/>
    <w:rsid w:val="002D1F85"/>
    <w:rsid w:val="002E0318"/>
    <w:rsid w:val="00302993"/>
    <w:rsid w:val="00307B61"/>
    <w:rsid w:val="00313538"/>
    <w:rsid w:val="00323128"/>
    <w:rsid w:val="00360CCC"/>
    <w:rsid w:val="00373592"/>
    <w:rsid w:val="003B1EE6"/>
    <w:rsid w:val="003B64B8"/>
    <w:rsid w:val="003E2711"/>
    <w:rsid w:val="00400C1C"/>
    <w:rsid w:val="004052E8"/>
    <w:rsid w:val="00422222"/>
    <w:rsid w:val="00433A1C"/>
    <w:rsid w:val="00434F39"/>
    <w:rsid w:val="00443F7A"/>
    <w:rsid w:val="004547B0"/>
    <w:rsid w:val="00455BF6"/>
    <w:rsid w:val="00456982"/>
    <w:rsid w:val="00477FA2"/>
    <w:rsid w:val="00481506"/>
    <w:rsid w:val="004834C4"/>
    <w:rsid w:val="0049584B"/>
    <w:rsid w:val="004966D9"/>
    <w:rsid w:val="004A60BE"/>
    <w:rsid w:val="004A68B6"/>
    <w:rsid w:val="004B04E7"/>
    <w:rsid w:val="004B5ED0"/>
    <w:rsid w:val="004C0B61"/>
    <w:rsid w:val="004C6AC7"/>
    <w:rsid w:val="004E441C"/>
    <w:rsid w:val="004E6005"/>
    <w:rsid w:val="005073EE"/>
    <w:rsid w:val="00507A0B"/>
    <w:rsid w:val="00513C56"/>
    <w:rsid w:val="0051524C"/>
    <w:rsid w:val="00524538"/>
    <w:rsid w:val="005271D1"/>
    <w:rsid w:val="00533485"/>
    <w:rsid w:val="005372C2"/>
    <w:rsid w:val="005372C4"/>
    <w:rsid w:val="00553D01"/>
    <w:rsid w:val="005575DF"/>
    <w:rsid w:val="0056323E"/>
    <w:rsid w:val="0056542B"/>
    <w:rsid w:val="00573487"/>
    <w:rsid w:val="0057399B"/>
    <w:rsid w:val="0057487D"/>
    <w:rsid w:val="00590A59"/>
    <w:rsid w:val="005C17BA"/>
    <w:rsid w:val="005D0A7C"/>
    <w:rsid w:val="005E4E45"/>
    <w:rsid w:val="006113A1"/>
    <w:rsid w:val="0064658C"/>
    <w:rsid w:val="00646FA2"/>
    <w:rsid w:val="006544AF"/>
    <w:rsid w:val="00661CBC"/>
    <w:rsid w:val="00676645"/>
    <w:rsid w:val="0069287F"/>
    <w:rsid w:val="006941A5"/>
    <w:rsid w:val="00697A15"/>
    <w:rsid w:val="006C2045"/>
    <w:rsid w:val="006C7C43"/>
    <w:rsid w:val="006D220A"/>
    <w:rsid w:val="006E27CD"/>
    <w:rsid w:val="006E5F26"/>
    <w:rsid w:val="006E6976"/>
    <w:rsid w:val="00702DAC"/>
    <w:rsid w:val="0070445D"/>
    <w:rsid w:val="00707196"/>
    <w:rsid w:val="0070792F"/>
    <w:rsid w:val="007229E8"/>
    <w:rsid w:val="00723316"/>
    <w:rsid w:val="0073715A"/>
    <w:rsid w:val="00756217"/>
    <w:rsid w:val="00773DFE"/>
    <w:rsid w:val="00794F8E"/>
    <w:rsid w:val="007A0173"/>
    <w:rsid w:val="007B6606"/>
    <w:rsid w:val="007C3BB9"/>
    <w:rsid w:val="007E3B85"/>
    <w:rsid w:val="007F6961"/>
    <w:rsid w:val="008130FA"/>
    <w:rsid w:val="0083098D"/>
    <w:rsid w:val="00835A46"/>
    <w:rsid w:val="00836E6E"/>
    <w:rsid w:val="00842BB7"/>
    <w:rsid w:val="0085672C"/>
    <w:rsid w:val="00862713"/>
    <w:rsid w:val="008776D2"/>
    <w:rsid w:val="00877765"/>
    <w:rsid w:val="00882D06"/>
    <w:rsid w:val="00883BD0"/>
    <w:rsid w:val="008921BB"/>
    <w:rsid w:val="008A698B"/>
    <w:rsid w:val="008B1B85"/>
    <w:rsid w:val="008C2D2E"/>
    <w:rsid w:val="008F0F1F"/>
    <w:rsid w:val="008F1137"/>
    <w:rsid w:val="008F1564"/>
    <w:rsid w:val="0090086D"/>
    <w:rsid w:val="0091064B"/>
    <w:rsid w:val="00911E7D"/>
    <w:rsid w:val="00915124"/>
    <w:rsid w:val="009154A4"/>
    <w:rsid w:val="009161CA"/>
    <w:rsid w:val="00927E52"/>
    <w:rsid w:val="00941EEB"/>
    <w:rsid w:val="00945CA7"/>
    <w:rsid w:val="00972839"/>
    <w:rsid w:val="00980127"/>
    <w:rsid w:val="009809C0"/>
    <w:rsid w:val="009D1A86"/>
    <w:rsid w:val="009E6E3B"/>
    <w:rsid w:val="00A06F0E"/>
    <w:rsid w:val="00A22940"/>
    <w:rsid w:val="00A45D74"/>
    <w:rsid w:val="00A70396"/>
    <w:rsid w:val="00A76B89"/>
    <w:rsid w:val="00A836E6"/>
    <w:rsid w:val="00A9042E"/>
    <w:rsid w:val="00A92ACE"/>
    <w:rsid w:val="00AA4467"/>
    <w:rsid w:val="00AC3213"/>
    <w:rsid w:val="00AC337A"/>
    <w:rsid w:val="00AF186A"/>
    <w:rsid w:val="00AF1F2F"/>
    <w:rsid w:val="00AF4339"/>
    <w:rsid w:val="00B043B9"/>
    <w:rsid w:val="00B04E5E"/>
    <w:rsid w:val="00B0767F"/>
    <w:rsid w:val="00B12941"/>
    <w:rsid w:val="00B16C33"/>
    <w:rsid w:val="00B34C6C"/>
    <w:rsid w:val="00B358BA"/>
    <w:rsid w:val="00B47959"/>
    <w:rsid w:val="00B67DA4"/>
    <w:rsid w:val="00B80274"/>
    <w:rsid w:val="00BA45F5"/>
    <w:rsid w:val="00BE7D91"/>
    <w:rsid w:val="00C030CD"/>
    <w:rsid w:val="00C04C0F"/>
    <w:rsid w:val="00C1199B"/>
    <w:rsid w:val="00C12FA0"/>
    <w:rsid w:val="00C220B4"/>
    <w:rsid w:val="00C23BA8"/>
    <w:rsid w:val="00C36536"/>
    <w:rsid w:val="00C46B90"/>
    <w:rsid w:val="00C70A52"/>
    <w:rsid w:val="00C74CF8"/>
    <w:rsid w:val="00C84A75"/>
    <w:rsid w:val="00C84EC2"/>
    <w:rsid w:val="00CB1DAC"/>
    <w:rsid w:val="00CC461D"/>
    <w:rsid w:val="00CD2216"/>
    <w:rsid w:val="00D007B4"/>
    <w:rsid w:val="00D031D8"/>
    <w:rsid w:val="00D11F0F"/>
    <w:rsid w:val="00D23194"/>
    <w:rsid w:val="00D413AE"/>
    <w:rsid w:val="00D54625"/>
    <w:rsid w:val="00D559EF"/>
    <w:rsid w:val="00D576AB"/>
    <w:rsid w:val="00D76AEE"/>
    <w:rsid w:val="00D775EC"/>
    <w:rsid w:val="00D85876"/>
    <w:rsid w:val="00D85EB0"/>
    <w:rsid w:val="00D9525F"/>
    <w:rsid w:val="00DA2024"/>
    <w:rsid w:val="00DA42DB"/>
    <w:rsid w:val="00DB4EFF"/>
    <w:rsid w:val="00DB58C1"/>
    <w:rsid w:val="00DD13EE"/>
    <w:rsid w:val="00DD1BC3"/>
    <w:rsid w:val="00DD3B04"/>
    <w:rsid w:val="00DE28F1"/>
    <w:rsid w:val="00DE7D2E"/>
    <w:rsid w:val="00E11410"/>
    <w:rsid w:val="00E2546E"/>
    <w:rsid w:val="00E45302"/>
    <w:rsid w:val="00E65027"/>
    <w:rsid w:val="00E85301"/>
    <w:rsid w:val="00E86513"/>
    <w:rsid w:val="00EA7DB7"/>
    <w:rsid w:val="00EB6700"/>
    <w:rsid w:val="00EB73EC"/>
    <w:rsid w:val="00EC5E01"/>
    <w:rsid w:val="00EE3BD9"/>
    <w:rsid w:val="00EE7323"/>
    <w:rsid w:val="00EF4A2D"/>
    <w:rsid w:val="00EF514F"/>
    <w:rsid w:val="00EF5E4E"/>
    <w:rsid w:val="00F27BC5"/>
    <w:rsid w:val="00F321B6"/>
    <w:rsid w:val="00F50281"/>
    <w:rsid w:val="00F524F0"/>
    <w:rsid w:val="00F61E07"/>
    <w:rsid w:val="00F66379"/>
    <w:rsid w:val="00F84A78"/>
    <w:rsid w:val="00FB5F32"/>
    <w:rsid w:val="00FC0F97"/>
    <w:rsid w:val="00FC6893"/>
    <w:rsid w:val="00FD5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59E4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159E4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159E4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  <w:rPr>
      <w:rFonts w:cs="Times New Roman"/>
    </w:rPr>
  </w:style>
  <w:style w:type="character" w:styleId="Strong">
    <w:name w:val="Strong"/>
    <w:basedOn w:val="1"/>
    <w:uiPriority w:val="99"/>
    <w:qFormat/>
    <w:rsid w:val="001523B0"/>
    <w:rPr>
      <w:rFonts w:cs="Times New Roman"/>
      <w:b/>
      <w:bCs/>
    </w:rPr>
  </w:style>
  <w:style w:type="character" w:styleId="Hyperlink">
    <w:name w:val="Hyperlink"/>
    <w:basedOn w:val="1"/>
    <w:uiPriority w:val="99"/>
    <w:rsid w:val="001523B0"/>
    <w:rPr>
      <w:rFonts w:cs="Times New Roman"/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523B0"/>
    <w:rPr>
      <w:rFonts w:cs="Times New Roman"/>
    </w:rPr>
  </w:style>
  <w:style w:type="character" w:customStyle="1" w:styleId="a">
    <w:name w:val="Верхний колонтитул Знак"/>
    <w:basedOn w:val="1"/>
    <w:uiPriority w:val="99"/>
    <w:rsid w:val="001523B0"/>
    <w:rPr>
      <w:rFonts w:cs="Times New Roman"/>
    </w:rPr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rFonts w:cs="Times New Roman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159E4"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1523B0"/>
    <w:rPr>
      <w:rFonts w:cs="Mangal"/>
    </w:rPr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59E4"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59E4"/>
    <w:rPr>
      <w:rFonts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59E4"/>
    <w:rPr>
      <w:rFonts w:cs="Times New Roman"/>
      <w:sz w:val="2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B043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043B9"/>
    <w:rPr>
      <w:rFonts w:cs="Times New Roman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B043B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043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043B9"/>
    <w:rPr>
      <w:rFonts w:cs="Times New Roman"/>
      <w:lang w:eastAsia="zh-CN"/>
    </w:rPr>
  </w:style>
  <w:style w:type="character" w:styleId="EndnoteReference">
    <w:name w:val="endnote reference"/>
    <w:basedOn w:val="DefaultParagraphFont"/>
    <w:uiPriority w:val="99"/>
    <w:semiHidden/>
    <w:rsid w:val="00B043B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319</Words>
  <Characters>1822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0002</cp:lastModifiedBy>
  <cp:revision>3</cp:revision>
  <cp:lastPrinted>2014-11-14T10:00:00Z</cp:lastPrinted>
  <dcterms:created xsi:type="dcterms:W3CDTF">2014-11-21T06:11:00Z</dcterms:created>
  <dcterms:modified xsi:type="dcterms:W3CDTF">2014-11-21T06:13:00Z</dcterms:modified>
</cp:coreProperties>
</file>